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 w:rsidR="002730FD">
        <w:rPr>
          <w:rStyle w:val="st42"/>
          <w:lang w:val="uk-UA"/>
        </w:rPr>
        <w:t>.4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-94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 w:rsidTr="007969F1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Pr="00D02F24" w:rsidRDefault="004D02A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</w:rPr>
              <w:t>Загальна інформація про об’єкт</w:t>
            </w:r>
            <w:r w:rsidR="00D02F24">
              <w:rPr>
                <w:rStyle w:val="st42"/>
                <w:lang w:val="uk-UA"/>
              </w:rPr>
              <w:t>: адмін. будівля Чумаківської с/р</w:t>
            </w: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A8228F" w:rsidRDefault="002730FD" w:rsidP="00252C3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053752">
              <w:rPr>
                <w:rStyle w:val="st42"/>
                <w:lang w:val="uk-UA"/>
              </w:rPr>
              <w:t>: 22.08.2024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4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B3858" w:rsidRDefault="002730FD" w:rsidP="00EB7FCC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>
              <w:rPr>
                <w:rStyle w:val="st42"/>
                <w:lang w:val="uk-UA"/>
              </w:rPr>
              <w:t xml:space="preserve">: </w:t>
            </w:r>
            <w:r>
              <w:t xml:space="preserve">с.Чумаки, вул. </w:t>
            </w:r>
            <w:r w:rsidR="00EB7FCC">
              <w:rPr>
                <w:lang w:val="uk-UA"/>
              </w:rPr>
              <w:t>Шкіль</w:t>
            </w:r>
            <w:r w:rsidR="00EB7FCC">
              <w:t>на, буд.13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4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9F5905" w:rsidRDefault="002730FD" w:rsidP="00252C3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>
              <w:rPr>
                <w:rStyle w:val="st42"/>
                <w:lang w:val="uk-UA"/>
              </w:rPr>
              <w:t>: комунальна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4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9F5905" w:rsidRDefault="002730FD" w:rsidP="00252C3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>
              <w:rPr>
                <w:rStyle w:val="st42"/>
                <w:lang w:val="uk-UA"/>
              </w:rPr>
              <w:t xml:space="preserve"> безбар’єрності: обстеження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4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9F5905" w:rsidRDefault="002730FD" w:rsidP="00252C3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>
              <w:rPr>
                <w:rStyle w:val="st42"/>
                <w:lang w:val="uk-UA"/>
              </w:rPr>
              <w:t xml:space="preserve"> - представники ТГ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4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AD566E" w:rsidP="00252C3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</w:t>
            </w:r>
            <w:r>
              <w:rPr>
                <w:rStyle w:val="st42"/>
                <w:lang w:val="uk-UA"/>
              </w:rPr>
              <w:t xml:space="preserve">: Хомяк Євгеній Володимирович, т.(050)3202827, </w:t>
            </w:r>
            <w:r>
              <w:rPr>
                <w:rStyle w:val="st42"/>
                <w:lang w:val="en-US"/>
              </w:rPr>
              <w:t>chumaksilrada</w:t>
            </w:r>
            <w:r w:rsidRPr="006E5420">
              <w:rPr>
                <w:rStyle w:val="st42"/>
                <w:lang w:val="ru-RU"/>
              </w:rPr>
              <w:t>@</w:t>
            </w:r>
            <w:r>
              <w:rPr>
                <w:rStyle w:val="st42"/>
                <w:lang w:val="en-US"/>
              </w:rPr>
              <w:t>gmail</w:t>
            </w:r>
            <w:r w:rsidRPr="006E5420">
              <w:rPr>
                <w:rStyle w:val="st42"/>
                <w:lang w:val="ru-RU"/>
              </w:rPr>
              <w:t>.</w:t>
            </w:r>
            <w:r>
              <w:rPr>
                <w:rStyle w:val="st42"/>
                <w:lang w:val="en-US"/>
              </w:rPr>
              <w:t>com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4"/>
              <w:rPr>
                <w:rStyle w:val="st42"/>
              </w:rPr>
            </w:pPr>
          </w:p>
        </w:tc>
      </w:tr>
      <w:tr w:rsidR="002730FD" w:rsidTr="007969F1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7C214D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7C214D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7C214D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7C214D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7C214D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1C1B7C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</w:t>
            </w:r>
            <w:r w:rsidR="00E26BEA"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1C1B7C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1C1B7C" w:rsidRDefault="00E26BEA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E26BEA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E26BEA"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7) дверні отвори без порогів і перепадів висот, ширина дверних </w:t>
            </w:r>
            <w:r>
              <w:rPr>
                <w:rStyle w:val="st42"/>
              </w:rPr>
              <w:lastRenderedPageBreak/>
              <w:t>отворів становить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20) висота розташування зовнішньої кнопки виклику та висота розташування кнопок керування ліфтом від 900 до 1100 </w:t>
            </w:r>
            <w:r>
              <w:rPr>
                <w:rStyle w:val="st42"/>
              </w:rPr>
              <w:lastRenderedPageBreak/>
              <w:t>міліметрів від підлоги кабіни і поверхової площадки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E26BEA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E26BEA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надаються послуги, допоміжних </w:t>
            </w:r>
            <w:r>
              <w:rPr>
                <w:rStyle w:val="st42"/>
                <w:lang w:val="uk-UA"/>
              </w:rPr>
              <w:t xml:space="preserve">       </w:t>
            </w:r>
            <w:r>
              <w:rPr>
                <w:rStyle w:val="st42"/>
              </w:rPr>
              <w:t>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</w:t>
            </w:r>
            <w:r>
              <w:rPr>
                <w:rStyle w:val="st42"/>
                <w:lang w:val="uk-UA"/>
              </w:rPr>
              <w:t xml:space="preserve">                 </w:t>
            </w:r>
            <w:r>
              <w:rPr>
                <w:rStyle w:val="st42"/>
              </w:rPr>
              <w:t>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34) ширина шляху руху в коридорах, приміщеннях, галереях на </w:t>
            </w:r>
            <w:r>
              <w:rPr>
                <w:rStyle w:val="st42"/>
              </w:rPr>
              <w:lastRenderedPageBreak/>
              <w:t>шляхах руху осіб з інвалідністю у чистоті не менш як 1,8 метра зустрічного руху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7969F1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4"/>
              <w:spacing w:before="80" w:after="80"/>
              <w:rPr>
                <w:rStyle w:val="st42"/>
              </w:rPr>
            </w:pPr>
          </w:p>
          <w:p w:rsidR="002730FD" w:rsidRPr="00950FC9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>: 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Pr="00950FC9" w:rsidRDefault="002730FD" w:rsidP="007969F1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Pr="00950FC9" w:rsidRDefault="002730FD" w:rsidP="007969F1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Pr="00950FC9" w:rsidRDefault="002730FD" w:rsidP="007969F1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Pr="00950FC9" w:rsidRDefault="002730FD" w:rsidP="007969F1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Pr="00950FC9" w:rsidRDefault="002730FD" w:rsidP="007969F1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950FC9" w:rsidRDefault="002730FD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>
              <w:rPr>
                <w:rStyle w:val="st42"/>
                <w:lang w:val="uk-UA"/>
              </w:rPr>
              <w:t>: 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Серед відвідувачів з початку року, кількість осіб</w:t>
            </w: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2730FD" w:rsidTr="007969F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30FD" w:rsidRDefault="002730FD" w:rsidP="007969F1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DD794C" w:rsidTr="007969F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7969F1">
            <w:pPr>
              <w:pStyle w:val="st14"/>
              <w:spacing w:before="80" w:after="80"/>
              <w:rPr>
                <w:rStyle w:val="st42"/>
              </w:rPr>
            </w:pPr>
          </w:p>
          <w:p w:rsidR="00DD794C" w:rsidRDefault="00DD794C" w:rsidP="007969F1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>: 22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Pr="00950FC9" w:rsidRDefault="00DD794C" w:rsidP="007969F1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22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Pr="00950FC9" w:rsidRDefault="00DD794C" w:rsidP="007969F1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Pr="00950FC9" w:rsidRDefault="00DD794C" w:rsidP="007969F1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Pr="00950FC9" w:rsidRDefault="00DD794C" w:rsidP="007969F1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Pr="00950FC9" w:rsidRDefault="00DD794C" w:rsidP="007969F1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16</w:t>
            </w:r>
          </w:p>
        </w:tc>
      </w:tr>
      <w:tr w:rsidR="00DD794C" w:rsidTr="007969F1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Pr="00950FC9" w:rsidRDefault="00DD794C" w:rsidP="007969F1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>
              <w:rPr>
                <w:rStyle w:val="st42"/>
                <w:lang w:val="uk-UA"/>
              </w:rPr>
              <w:t>: 10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7969F1">
            <w:pPr>
              <w:pStyle w:val="st12"/>
              <w:spacing w:before="80" w:after="80"/>
              <w:rPr>
                <w:rStyle w:val="st42"/>
              </w:rPr>
            </w:pPr>
          </w:p>
        </w:tc>
      </w:tr>
    </w:tbl>
    <w:p w:rsidR="007969F1" w:rsidRDefault="007969F1" w:rsidP="007969F1">
      <w:pPr>
        <w:pStyle w:val="st14"/>
        <w:spacing w:before="80" w:after="80"/>
        <w:rPr>
          <w:rStyle w:val="st42"/>
          <w:lang w:val="uk-UA"/>
        </w:rPr>
      </w:pPr>
      <w:r>
        <w:rPr>
          <w:rStyle w:val="st42"/>
        </w:rPr>
        <w:t>Підсумки</w:t>
      </w:r>
      <w:r>
        <w:rPr>
          <w:rStyle w:val="st42"/>
          <w:lang w:val="uk-UA"/>
        </w:rPr>
        <w:t xml:space="preserve">: Об’єкт - адміністративна будівля </w:t>
      </w:r>
      <w:r>
        <w:t>Чумаківськ</w:t>
      </w:r>
      <w:r>
        <w:rPr>
          <w:lang w:val="uk-UA"/>
        </w:rPr>
        <w:t>ої сільської ради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 xml:space="preserve">є частково безбар’єрним. </w:t>
      </w:r>
      <w:r>
        <w:rPr>
          <w:rStyle w:val="st42"/>
        </w:rPr>
        <w:t>*</w:t>
      </w:r>
      <w:r>
        <w:rPr>
          <w:rStyle w:val="st42"/>
          <w:lang w:val="uk-UA"/>
        </w:rPr>
        <w:t xml:space="preserve">  </w:t>
      </w:r>
    </w:p>
    <w:p w:rsidR="007969F1" w:rsidRPr="002270AD" w:rsidRDefault="007969F1" w:rsidP="007969F1">
      <w:pPr>
        <w:pStyle w:val="st14"/>
        <w:spacing w:before="80" w:after="80"/>
        <w:rPr>
          <w:rStyle w:val="st82"/>
          <w:lang w:val="uk-UA"/>
        </w:rPr>
      </w:pP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  <w:t>_____________________________________</w:t>
      </w:r>
      <w:r>
        <w:rPr>
          <w:rStyle w:val="st82"/>
        </w:rPr>
        <w:br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  <w:lang w:val="uk-UA"/>
        </w:rPr>
        <w:t xml:space="preserve">ПІБ </w:t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  <w:t>підпис</w:t>
      </w:r>
    </w:p>
    <w:p w:rsidR="007969F1" w:rsidRPr="002270AD" w:rsidRDefault="007969F1" w:rsidP="007969F1">
      <w:pPr>
        <w:pStyle w:val="st14"/>
        <w:rPr>
          <w:rStyle w:val="st82"/>
          <w:lang w:val="uk-UA"/>
        </w:rPr>
      </w:pPr>
      <w:r>
        <w:rPr>
          <w:rStyle w:val="st82"/>
        </w:rPr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7969F1" w:rsidRDefault="007969F1" w:rsidP="007969F1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– </w:t>
      </w:r>
      <w:r>
        <w:rPr>
          <w:rStyle w:val="st42"/>
          <w:lang w:val="uk-UA"/>
        </w:rPr>
        <w:t xml:space="preserve">Чумаківська сільська рада </w:t>
      </w:r>
      <w:r>
        <w:rPr>
          <w:rStyle w:val="st42"/>
        </w:rPr>
        <w:t xml:space="preserve"> </w:t>
      </w:r>
    </w:p>
    <w:p w:rsidR="007969F1" w:rsidRDefault="007969F1" w:rsidP="007969F1">
      <w:pPr>
        <w:pStyle w:val="st14"/>
        <w:rPr>
          <w:rStyle w:val="st42"/>
        </w:rPr>
      </w:pPr>
      <w:r>
        <w:rPr>
          <w:rStyle w:val="st42"/>
        </w:rPr>
        <w:t>“22” серпня 20</w:t>
      </w:r>
      <w:r w:rsidR="00053752">
        <w:rPr>
          <w:rStyle w:val="st42"/>
          <w:lang w:val="uk-UA"/>
        </w:rPr>
        <w:t>24</w:t>
      </w:r>
      <w:bookmarkStart w:id="0" w:name="_GoBack"/>
      <w:bookmarkEnd w:id="0"/>
      <w:r>
        <w:rPr>
          <w:rStyle w:val="st42"/>
        </w:rPr>
        <w:t xml:space="preserve"> р.</w:t>
      </w:r>
    </w:p>
    <w:p w:rsidR="004D02AA" w:rsidRPr="007969F1" w:rsidRDefault="004D02AA" w:rsidP="007969F1">
      <w:pPr>
        <w:jc w:val="both"/>
        <w:rPr>
          <w:rStyle w:val="st42"/>
          <w:lang w:val="x-none"/>
        </w:rPr>
      </w:pPr>
    </w:p>
    <w:sectPr w:rsidR="004D02AA" w:rsidRPr="007969F1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hideSpellingErrors/>
  <w:hideGrammaticalError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053752"/>
    <w:rsid w:val="001D27F0"/>
    <w:rsid w:val="00271692"/>
    <w:rsid w:val="002730FD"/>
    <w:rsid w:val="004D02AA"/>
    <w:rsid w:val="007969F1"/>
    <w:rsid w:val="008E2EB3"/>
    <w:rsid w:val="00A26BE9"/>
    <w:rsid w:val="00A56289"/>
    <w:rsid w:val="00AB1DD6"/>
    <w:rsid w:val="00AD566E"/>
    <w:rsid w:val="00BE0ABD"/>
    <w:rsid w:val="00C60A2E"/>
    <w:rsid w:val="00C62E00"/>
    <w:rsid w:val="00CA3779"/>
    <w:rsid w:val="00D02F24"/>
    <w:rsid w:val="00DD40AD"/>
    <w:rsid w:val="00DD794C"/>
    <w:rsid w:val="00E26BEA"/>
    <w:rsid w:val="00EB7FCC"/>
    <w:rsid w:val="00F1169A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E19F0A"/>
  <w14:defaultImageDpi w14:val="96"/>
  <w15:docId w15:val="{D9C31AF5-237C-471D-A0DA-984D7DA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2121</Words>
  <Characters>12090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Lenovo-PC</cp:lastModifiedBy>
  <cp:revision>14</cp:revision>
  <dcterms:created xsi:type="dcterms:W3CDTF">2021-08-28T10:43:00Z</dcterms:created>
  <dcterms:modified xsi:type="dcterms:W3CDTF">2024-09-09T07:23:00Z</dcterms:modified>
</cp:coreProperties>
</file>